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6"/>
        <w:gridCol w:w="3043"/>
        <w:gridCol w:w="3189"/>
      </w:tblGrid>
      <w:tr w:rsidR="007119EE" w:rsidRPr="00B25ECA" w:rsidTr="00A1274E">
        <w:tc>
          <w:tcPr>
            <w:tcW w:w="9054" w:type="dxa"/>
            <w:gridSpan w:val="3"/>
          </w:tcPr>
          <w:p w:rsidR="007119EE" w:rsidRPr="007119EE" w:rsidRDefault="007119EE" w:rsidP="00A1274E">
            <w:pPr>
              <w:pStyle w:val="Puesto"/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7119EE">
              <w:rPr>
                <w:b/>
                <w:sz w:val="32"/>
                <w:szCs w:val="32"/>
              </w:rPr>
              <w:t>Biocatalizador de nueva generación de nanopartículas magnéticas de óxido mixto, método de preparación y usos</w:t>
            </w:r>
            <w:bookmarkEnd w:id="0"/>
          </w:p>
        </w:tc>
      </w:tr>
      <w:tr w:rsidR="007119EE" w:rsidRPr="00B25ECA" w:rsidTr="00A1274E">
        <w:tc>
          <w:tcPr>
            <w:tcW w:w="9054" w:type="dxa"/>
            <w:gridSpan w:val="3"/>
          </w:tcPr>
          <w:p w:rsidR="007119EE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Laboratorio de Física 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5ECA">
              <w:rPr>
                <w:rFonts w:cstheme="minorHAnsi"/>
                <w:sz w:val="24"/>
                <w:szCs w:val="24"/>
              </w:rPr>
              <w:t>Laboratorio de Química Inorgánica de la Facultad de Bioquímica, Química y Farmacia – Universidad Nacional de Tucumán.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Laboratorio de Bioprocesos y Biocatálisis (Proimi- Conicet)</w:t>
            </w:r>
          </w:p>
        </w:tc>
      </w:tr>
      <w:tr w:rsidR="007119EE" w:rsidRPr="00B25ECA" w:rsidTr="00A1274E">
        <w:trPr>
          <w:trHeight w:val="6423"/>
        </w:trPr>
        <w:tc>
          <w:tcPr>
            <w:tcW w:w="5826" w:type="dxa"/>
            <w:gridSpan w:val="2"/>
          </w:tcPr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Nuestra tecnología consiste de una plataforma biotecnológica dedicada a diseñar y producir biocatalizadores industriales de nueva generación, que permitan mejorar la rentabilidad y operatividad de los procesos.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Nuestra tecnología se basa en el diseño a medida de biocatalizadores inmovilizados sobre nanosoportes magnéticos no convencionales, como alternativa al uso de biocatalizadores libres. Así generamos biocatalizadores nuevos y mejorados, haciéndolos económicamente competitivos y sustentables, cubriendo la falta de procesos industriales optimizados que encarecen la bio/catálisis actual.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 xml:space="preserve">Si bien existen en el mercado internacional biocatalizadores inmovilizados, el tipo de inmovilización que brindamos garantiza mejorar la estabilidad y rendimiento del biocatalizador, aplicar reciclos y facilitar el downstream del proceso. 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 xml:space="preserve">Nuestra tecnología se protege mediante una patente (INPI-2016), representando así una barrera de entrada de la competencia. La misma es transferible y escalable. 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8" w:type="dxa"/>
          </w:tcPr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noProof/>
                <w:sz w:val="24"/>
                <w:szCs w:val="24"/>
                <w:lang w:eastAsia="es-AR"/>
              </w:rPr>
              <w:drawing>
                <wp:anchor distT="0" distB="0" distL="114300" distR="114300" simplePos="0" relativeHeight="251659264" behindDoc="1" locked="0" layoutInCell="1" allowOverlap="1" wp14:anchorId="48F2A30C" wp14:editId="1F65DA5A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963930</wp:posOffset>
                  </wp:positionV>
                  <wp:extent cx="1657985" cy="1837690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344" y="21272"/>
                      <wp:lineTo x="21344" y="0"/>
                      <wp:lineTo x="0" y="0"/>
                    </wp:wrapPolygon>
                  </wp:wrapTight>
                  <wp:docPr id="11" name="Picture 2" descr="ChemCatChem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hemCatChem 20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7" r="6491" b="4869"/>
                          <a:stretch/>
                        </pic:blipFill>
                        <pic:spPr bwMode="auto">
                          <a:xfrm>
                            <a:off x="0" y="0"/>
                            <a:ext cx="1657985" cy="18376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19EE" w:rsidRPr="00B25ECA" w:rsidTr="00A1274E">
        <w:trPr>
          <w:trHeight w:val="2414"/>
        </w:trPr>
        <w:tc>
          <w:tcPr>
            <w:tcW w:w="2699" w:type="dxa"/>
          </w:tcPr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Miembros del equipo: Dra. María Inés Gómez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Dra. Carolina Navarro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Lic. Andrés Morales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Ing. Paola Manfredi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Dra. Alejandra Martínez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Responsable:D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25ECA">
              <w:rPr>
                <w:rFonts w:cstheme="minorHAnsi"/>
                <w:sz w:val="24"/>
                <w:szCs w:val="24"/>
              </w:rPr>
              <w:t>ra. Cintia M. Romero</w:t>
            </w:r>
          </w:p>
        </w:tc>
        <w:tc>
          <w:tcPr>
            <w:tcW w:w="3127" w:type="dxa"/>
          </w:tcPr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Contacto:</w:t>
            </w:r>
          </w:p>
          <w:p w:rsidR="007119EE" w:rsidRDefault="007119EE" w:rsidP="00A127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Unidad </w:t>
            </w:r>
            <w:r w:rsidRPr="00B25ECA">
              <w:rPr>
                <w:rFonts w:cstheme="minorHAnsi"/>
                <w:sz w:val="24"/>
                <w:szCs w:val="24"/>
              </w:rPr>
              <w:t xml:space="preserve"> de Vinculación Tecnológica-UNT</w:t>
            </w:r>
          </w:p>
          <w:p w:rsidR="007119EE" w:rsidRDefault="007119EE" w:rsidP="00A1274E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806B75">
                <w:rPr>
                  <w:rStyle w:val="Hipervnculo"/>
                  <w:rFonts w:cstheme="minorHAnsi"/>
                  <w:sz w:val="24"/>
                  <w:szCs w:val="24"/>
                </w:rPr>
                <w:t>info@une.unt.edu.ar</w:t>
              </w:r>
            </w:hyperlink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 w:rsidRPr="00B25ECA">
              <w:rPr>
                <w:rFonts w:cstheme="minorHAnsi"/>
                <w:sz w:val="24"/>
                <w:szCs w:val="24"/>
              </w:rPr>
              <w:t>Telef. 0381-422-0870 / 421-4138 / 421-3770 / 430 -8261 /155991585</w:t>
            </w:r>
          </w:p>
        </w:tc>
        <w:tc>
          <w:tcPr>
            <w:tcW w:w="3228" w:type="dxa"/>
          </w:tcPr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Industrias a las que aplica:</w:t>
            </w:r>
          </w:p>
          <w:p w:rsidR="007119EE" w:rsidRPr="00B25ECA" w:rsidRDefault="007119EE" w:rsidP="00A127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</w:t>
            </w:r>
            <w:r w:rsidRPr="00B25ECA">
              <w:rPr>
                <w:rFonts w:cstheme="minorHAnsi"/>
                <w:sz w:val="24"/>
                <w:szCs w:val="24"/>
              </w:rPr>
              <w:t xml:space="preserve"> tecnología puede ser aplicada a distintas áreas industriales: alimentaria, farmacéutica, de biocombustibles, entre otras que requieran del uso de biocatalizadores.</w:t>
            </w:r>
          </w:p>
        </w:tc>
      </w:tr>
    </w:tbl>
    <w:p w:rsidR="005F2BCE" w:rsidRDefault="005F2BCE" w:rsidP="00115925"/>
    <w:sectPr w:rsidR="005F2BCE" w:rsidSect="00712E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9E" w:rsidRDefault="0000709E" w:rsidP="00115925">
      <w:pPr>
        <w:spacing w:after="0" w:line="240" w:lineRule="auto"/>
      </w:pPr>
      <w:r>
        <w:separator/>
      </w:r>
    </w:p>
  </w:endnote>
  <w:endnote w:type="continuationSeparator" w:id="0">
    <w:p w:rsidR="0000709E" w:rsidRDefault="0000709E" w:rsidP="0011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LightAlternate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9E" w:rsidRDefault="0000709E" w:rsidP="00115925">
      <w:pPr>
        <w:spacing w:after="0" w:line="240" w:lineRule="auto"/>
      </w:pPr>
      <w:r>
        <w:separator/>
      </w:r>
    </w:p>
  </w:footnote>
  <w:footnote w:type="continuationSeparator" w:id="0">
    <w:p w:rsidR="0000709E" w:rsidRDefault="0000709E" w:rsidP="0011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25" w:rsidRDefault="007A0371">
    <w:pPr>
      <w:pStyle w:val="Encabezado"/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</w:pPr>
    <w:r>
      <w:rPr>
        <w:rFonts w:ascii="DIN-LightAlternate" w:hAnsi="DIN-LightAlternate"/>
        <w:color w:val="7F7F7F" w:themeColor="text1" w:themeTint="80"/>
        <w:sz w:val="18"/>
        <w:szCs w:val="20"/>
      </w:rPr>
      <w:t xml:space="preserve">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drawing>
        <wp:inline distT="0" distB="0" distL="0" distR="0" wp14:anchorId="7D765724">
          <wp:extent cx="1381125" cy="69414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061" cy="698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353C">
      <w:rPr>
        <w:rFonts w:ascii="DIN-LightAlternate" w:hAnsi="DIN-LightAlternate"/>
        <w:color w:val="7F7F7F" w:themeColor="text1" w:themeTint="80"/>
        <w:sz w:val="18"/>
        <w:szCs w:val="20"/>
      </w:rPr>
      <w:t xml:space="preserve">     </w:t>
    </w:r>
    <w:r>
      <w:rPr>
        <w:rFonts w:ascii="DIN-LightAlternate" w:hAnsi="DIN-LightAlternate"/>
        <w:color w:val="7F7F7F" w:themeColor="text1" w:themeTint="80"/>
        <w:sz w:val="18"/>
        <w:szCs w:val="20"/>
      </w:rPr>
      <w:t xml:space="preserve">   </w:t>
    </w:r>
    <w:r w:rsidR="0067353C">
      <w:rPr>
        <w:rFonts w:ascii="DIN-LightAlternate" w:hAnsi="DIN-LightAlternate"/>
        <w:color w:val="7F7F7F" w:themeColor="text1" w:themeTint="80"/>
        <w:sz w:val="18"/>
        <w:szCs w:val="20"/>
      </w:rPr>
      <w:t xml:space="preserve">    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drawing>
        <wp:inline distT="0" distB="0" distL="0" distR="0" wp14:anchorId="7491D6DF">
          <wp:extent cx="1122045" cy="597535"/>
          <wp:effectExtent l="0" t="0" r="190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353C">
      <w:rPr>
        <w:rFonts w:ascii="DIN-LightAlternate" w:hAnsi="DIN-LightAlternate"/>
        <w:color w:val="7F7F7F" w:themeColor="text1" w:themeTint="80"/>
        <w:sz w:val="18"/>
        <w:szCs w:val="20"/>
      </w:rPr>
      <w:t xml:space="preserve">              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t xml:space="preserve"> </w:t>
    </w:r>
    <w:r w:rsidR="0067353C"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  <w:drawing>
        <wp:inline distT="0" distB="0" distL="0" distR="0" wp14:anchorId="757C0500">
          <wp:extent cx="2121535" cy="640080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353C" w:rsidRPr="0067353C" w:rsidRDefault="0067353C">
    <w:pPr>
      <w:pStyle w:val="Encabezado"/>
      <w:rPr>
        <w:rFonts w:cstheme="minorHAnsi"/>
        <w:b/>
        <w:noProof/>
        <w:color w:val="7F7F7F" w:themeColor="text1" w:themeTint="80"/>
        <w:sz w:val="18"/>
        <w:szCs w:val="20"/>
        <w:lang w:eastAsia="es-AR"/>
      </w:rPr>
    </w:pPr>
    <w:r w:rsidRPr="0067353C">
      <w:rPr>
        <w:rFonts w:cstheme="minorHAnsi"/>
        <w:b/>
        <w:noProof/>
        <w:color w:val="7F7F7F" w:themeColor="text1" w:themeTint="80"/>
        <w:sz w:val="18"/>
        <w:szCs w:val="20"/>
        <w:lang w:eastAsia="es-AR"/>
      </w:rPr>
      <w:t xml:space="preserve">                                                           Red de Vinculación Tecnológica de</w:t>
    </w:r>
    <w:r w:rsidRPr="0067353C">
      <w:rPr>
        <w:rFonts w:cstheme="minorHAnsi"/>
        <w:b/>
        <w:noProof/>
        <w:color w:val="7F7F7F" w:themeColor="text1" w:themeTint="80"/>
        <w:sz w:val="18"/>
        <w:szCs w:val="20"/>
        <w:lang w:eastAsia="es-AR"/>
      </w:rPr>
      <w:br/>
      <w:t xml:space="preserve">                                                          Universidades Nacionales Argentinas</w:t>
    </w:r>
  </w:p>
  <w:p w:rsidR="0067353C" w:rsidRDefault="0067353C">
    <w:pPr>
      <w:pStyle w:val="Encabezado"/>
      <w:rPr>
        <w:rFonts w:ascii="DIN-LightAlternate" w:hAnsi="DIN-LightAlternate"/>
        <w:noProof/>
        <w:color w:val="7F7F7F" w:themeColor="text1" w:themeTint="80"/>
        <w:sz w:val="18"/>
        <w:szCs w:val="20"/>
        <w:lang w:eastAsia="es-AR"/>
      </w:rPr>
    </w:pPr>
  </w:p>
  <w:p w:rsidR="0067353C" w:rsidRPr="0067353C" w:rsidRDefault="0067353C">
    <w:pPr>
      <w:pStyle w:val="Encabezado"/>
      <w:rPr>
        <w:rFonts w:ascii="DIN-LightAlternate" w:hAnsi="DIN-LightAlternate"/>
        <w:color w:val="7F7F7F" w:themeColor="text1" w:themeTint="80"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25"/>
    <w:rsid w:val="0000709E"/>
    <w:rsid w:val="000637AA"/>
    <w:rsid w:val="00115925"/>
    <w:rsid w:val="00255F92"/>
    <w:rsid w:val="003719AB"/>
    <w:rsid w:val="00542E54"/>
    <w:rsid w:val="005F2BCE"/>
    <w:rsid w:val="0067353C"/>
    <w:rsid w:val="007119EE"/>
    <w:rsid w:val="00712EEB"/>
    <w:rsid w:val="007234D0"/>
    <w:rsid w:val="00733A4D"/>
    <w:rsid w:val="007A0371"/>
    <w:rsid w:val="00E14C53"/>
    <w:rsid w:val="00FE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AF244-BA71-45A0-857E-E2F5C33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925"/>
  </w:style>
  <w:style w:type="paragraph" w:styleId="Piedepgina">
    <w:name w:val="footer"/>
    <w:basedOn w:val="Normal"/>
    <w:link w:val="PiedepginaCar"/>
    <w:uiPriority w:val="99"/>
    <w:unhideWhenUsed/>
    <w:rsid w:val="001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925"/>
  </w:style>
  <w:style w:type="character" w:styleId="Hipervnculo">
    <w:name w:val="Hyperlink"/>
    <w:basedOn w:val="Fuentedeprrafopredeter"/>
    <w:uiPriority w:val="99"/>
    <w:unhideWhenUsed/>
    <w:rsid w:val="007119EE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711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119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une.unt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Full name</cp:lastModifiedBy>
  <cp:revision>2</cp:revision>
  <dcterms:created xsi:type="dcterms:W3CDTF">2018-08-10T11:28:00Z</dcterms:created>
  <dcterms:modified xsi:type="dcterms:W3CDTF">2018-08-10T11:28:00Z</dcterms:modified>
</cp:coreProperties>
</file>