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94" w:rsidRDefault="00C92D94" w:rsidP="00C92D94">
      <w:pPr>
        <w:tabs>
          <w:tab w:val="left" w:pos="0"/>
        </w:tabs>
        <w:spacing w:line="240" w:lineRule="auto"/>
        <w:jc w:val="center"/>
        <w:rPr>
          <w:rFonts w:ascii="Arial" w:eastAsia="Times New Roman" w:hAnsi="Arial" w:cs="Arial"/>
          <w:b/>
          <w:lang w:eastAsia="ar-SA"/>
        </w:rPr>
      </w:pPr>
      <w:r>
        <w:rPr>
          <w:rFonts w:ascii="Arial" w:eastAsia="Times New Roman" w:hAnsi="Arial" w:cs="Arial"/>
          <w:b/>
          <w:lang w:eastAsia="ar-SA"/>
        </w:rPr>
        <w:t>Álgebra Multilineal</w:t>
      </w:r>
      <w:bookmarkStart w:id="0" w:name="_GoBack"/>
      <w:bookmarkEnd w:id="0"/>
    </w:p>
    <w:p w:rsidR="00C92D94" w:rsidRPr="000533DB" w:rsidRDefault="00C92D94" w:rsidP="00C92D94">
      <w:pPr>
        <w:tabs>
          <w:tab w:val="left" w:pos="0"/>
        </w:tabs>
        <w:spacing w:line="240" w:lineRule="auto"/>
        <w:jc w:val="both"/>
        <w:rPr>
          <w:rFonts w:ascii="Arial" w:eastAsia="Times New Roman" w:hAnsi="Arial" w:cs="Arial"/>
          <w:lang w:eastAsia="ar-SA"/>
        </w:rPr>
      </w:pPr>
      <w:r w:rsidRPr="000533DB">
        <w:rPr>
          <w:rFonts w:ascii="Arial" w:eastAsia="Times New Roman" w:hAnsi="Arial" w:cs="Arial"/>
          <w:b/>
          <w:lang w:eastAsia="ar-SA"/>
        </w:rPr>
        <w:t>Programa:</w:t>
      </w:r>
      <w:r w:rsidRPr="000533DB">
        <w:rPr>
          <w:rFonts w:ascii="Arial" w:eastAsia="Times New Roman" w:hAnsi="Arial" w:cs="Arial"/>
          <w:lang w:eastAsia="ar-SA"/>
        </w:rPr>
        <w:t xml:space="preserve"> Todos los contenidos del curso serán trabajados con la computadora en algún software de cálculo simbólico, como: Maple o Máxima, por ejemplo.</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lang w:val="es-AR"/>
        </w:rPr>
        <w:t xml:space="preserve"> </w:t>
      </w:r>
      <w:r w:rsidRPr="000639FF">
        <w:rPr>
          <w:rFonts w:ascii="Arial" w:hAnsi="Arial" w:cs="Arial"/>
          <w:sz w:val="20"/>
          <w:szCs w:val="20"/>
          <w:u w:val="single"/>
          <w:lang w:val="es-AR"/>
        </w:rPr>
        <w:t>Capítulo 1</w:t>
      </w:r>
      <w:r w:rsidRPr="000639FF">
        <w:rPr>
          <w:rFonts w:ascii="Arial" w:hAnsi="Arial" w:cs="Arial"/>
          <w:sz w:val="20"/>
          <w:szCs w:val="20"/>
          <w:lang w:val="es-AR"/>
        </w:rPr>
        <w:t>: Repaso de álgebra lineal</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lang w:val="es-AR"/>
        </w:rPr>
        <w:t xml:space="preserve">Vectores en el plano y en el espacio. Transformaciones del plano y del espacio. Sistemas de ecuaciones lineales. Espacios vectoriales. Transformaciones lineales. Determinante y </w:t>
      </w:r>
      <w:proofErr w:type="spellStart"/>
      <w:r w:rsidRPr="000639FF">
        <w:rPr>
          <w:rFonts w:ascii="Arial" w:hAnsi="Arial" w:cs="Arial"/>
          <w:sz w:val="20"/>
          <w:szCs w:val="20"/>
          <w:lang w:val="es-AR"/>
        </w:rPr>
        <w:t>autovectores</w:t>
      </w:r>
      <w:proofErr w:type="spellEnd"/>
      <w:r w:rsidRPr="000639FF">
        <w:rPr>
          <w:rFonts w:ascii="Arial" w:hAnsi="Arial" w:cs="Arial"/>
          <w:sz w:val="20"/>
          <w:szCs w:val="20"/>
          <w:lang w:val="es-AR"/>
        </w:rPr>
        <w:t>.</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u w:val="single"/>
          <w:lang w:val="es-AR"/>
        </w:rPr>
        <w:t>Capítulo 2</w:t>
      </w:r>
      <w:r w:rsidRPr="000639FF">
        <w:rPr>
          <w:rFonts w:ascii="Arial" w:hAnsi="Arial" w:cs="Arial"/>
          <w:sz w:val="20"/>
          <w:szCs w:val="20"/>
          <w:lang w:val="es-AR"/>
        </w:rPr>
        <w:t>: Espacios de transformaciones lineales y bilineales</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lang w:val="es-AR"/>
        </w:rPr>
        <w:t xml:space="preserve">Espacio dual y espacio </w:t>
      </w:r>
      <w:proofErr w:type="spellStart"/>
      <w:r w:rsidRPr="000639FF">
        <w:rPr>
          <w:rFonts w:ascii="Arial" w:hAnsi="Arial" w:cs="Arial"/>
          <w:sz w:val="20"/>
          <w:szCs w:val="20"/>
          <w:lang w:val="es-AR"/>
        </w:rPr>
        <w:t>dobledual</w:t>
      </w:r>
      <w:proofErr w:type="spellEnd"/>
      <w:r w:rsidRPr="000639FF">
        <w:rPr>
          <w:rFonts w:ascii="Arial" w:hAnsi="Arial" w:cs="Arial"/>
          <w:sz w:val="20"/>
          <w:szCs w:val="20"/>
          <w:lang w:val="es-AR"/>
        </w:rPr>
        <w:t>. El espacio de transformaciones lineales. Funcionales lineales. Transformaciones bilineales y funcionales bilineales.</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u w:val="single"/>
          <w:lang w:val="es-AR"/>
        </w:rPr>
        <w:t>Capítulo 3</w:t>
      </w:r>
      <w:r w:rsidRPr="000639FF">
        <w:rPr>
          <w:rFonts w:ascii="Arial" w:hAnsi="Arial" w:cs="Arial"/>
          <w:sz w:val="20"/>
          <w:szCs w:val="20"/>
          <w:lang w:val="es-AR"/>
        </w:rPr>
        <w:t xml:space="preserve">: Transformaciones </w:t>
      </w:r>
      <w:proofErr w:type="spellStart"/>
      <w:r w:rsidRPr="000639FF">
        <w:rPr>
          <w:rFonts w:ascii="Arial" w:hAnsi="Arial" w:cs="Arial"/>
          <w:sz w:val="20"/>
          <w:szCs w:val="20"/>
          <w:lang w:val="es-AR"/>
        </w:rPr>
        <w:t>multilineales</w:t>
      </w:r>
      <w:proofErr w:type="spellEnd"/>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lang w:val="es-AR"/>
        </w:rPr>
        <w:t xml:space="preserve">Transformaciones </w:t>
      </w:r>
      <w:proofErr w:type="spellStart"/>
      <w:r w:rsidRPr="000639FF">
        <w:rPr>
          <w:rFonts w:ascii="Arial" w:hAnsi="Arial" w:cs="Arial"/>
          <w:sz w:val="20"/>
          <w:szCs w:val="20"/>
          <w:lang w:val="es-AR"/>
        </w:rPr>
        <w:t>multilineales</w:t>
      </w:r>
      <w:proofErr w:type="spellEnd"/>
      <w:r w:rsidRPr="000639FF">
        <w:rPr>
          <w:rFonts w:ascii="Arial" w:hAnsi="Arial" w:cs="Arial"/>
          <w:sz w:val="20"/>
          <w:szCs w:val="20"/>
          <w:lang w:val="es-AR"/>
        </w:rPr>
        <w:t xml:space="preserve">. Transformaciones simétricas y </w:t>
      </w:r>
      <w:proofErr w:type="spellStart"/>
      <w:r w:rsidRPr="000639FF">
        <w:rPr>
          <w:rFonts w:ascii="Arial" w:hAnsi="Arial" w:cs="Arial"/>
          <w:sz w:val="20"/>
          <w:szCs w:val="20"/>
          <w:lang w:val="es-AR"/>
        </w:rPr>
        <w:t>antisimétricas</w:t>
      </w:r>
      <w:proofErr w:type="spellEnd"/>
      <w:r w:rsidRPr="000639FF">
        <w:rPr>
          <w:rFonts w:ascii="Arial" w:hAnsi="Arial" w:cs="Arial"/>
          <w:sz w:val="20"/>
          <w:szCs w:val="20"/>
          <w:lang w:val="es-AR"/>
        </w:rPr>
        <w:t>. Determinantes.</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u w:val="single"/>
          <w:lang w:val="es-AR"/>
        </w:rPr>
        <w:t>Capítulo 4</w:t>
      </w:r>
      <w:r w:rsidRPr="000639FF">
        <w:rPr>
          <w:rFonts w:ascii="Arial" w:hAnsi="Arial" w:cs="Arial"/>
          <w:sz w:val="20"/>
          <w:szCs w:val="20"/>
          <w:lang w:val="es-AR"/>
        </w:rPr>
        <w:t>: Producto tensorial</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lang w:val="es-AR"/>
        </w:rPr>
        <w:t xml:space="preserve"> Producto tensorial de espacios vectoriales de dimensión finita. Definición por construcción. Definición por dualidad. Definición por propiedad universal. Componentes </w:t>
      </w:r>
      <w:proofErr w:type="spellStart"/>
      <w:r w:rsidRPr="000639FF">
        <w:rPr>
          <w:rFonts w:ascii="Arial" w:hAnsi="Arial" w:cs="Arial"/>
          <w:sz w:val="20"/>
          <w:szCs w:val="20"/>
          <w:lang w:val="es-AR"/>
        </w:rPr>
        <w:t>covariantes</w:t>
      </w:r>
      <w:proofErr w:type="spellEnd"/>
      <w:r w:rsidRPr="000639FF">
        <w:rPr>
          <w:rFonts w:ascii="Arial" w:hAnsi="Arial" w:cs="Arial"/>
          <w:sz w:val="20"/>
          <w:szCs w:val="20"/>
          <w:lang w:val="es-AR"/>
        </w:rPr>
        <w:t xml:space="preserve"> y </w:t>
      </w:r>
      <w:proofErr w:type="spellStart"/>
      <w:r w:rsidRPr="000639FF">
        <w:rPr>
          <w:rFonts w:ascii="Arial" w:hAnsi="Arial" w:cs="Arial"/>
          <w:sz w:val="20"/>
          <w:szCs w:val="20"/>
          <w:lang w:val="es-AR"/>
        </w:rPr>
        <w:t>contravariantes</w:t>
      </w:r>
      <w:proofErr w:type="spellEnd"/>
      <w:r w:rsidRPr="000639FF">
        <w:rPr>
          <w:rFonts w:ascii="Arial" w:hAnsi="Arial" w:cs="Arial"/>
          <w:sz w:val="20"/>
          <w:szCs w:val="20"/>
          <w:lang w:val="es-AR"/>
        </w:rPr>
        <w:t>.</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u w:val="single"/>
          <w:lang w:val="es-AR"/>
        </w:rPr>
        <w:t>Capítulo 5</w:t>
      </w:r>
      <w:r w:rsidRPr="000639FF">
        <w:rPr>
          <w:rFonts w:ascii="Arial" w:hAnsi="Arial" w:cs="Arial"/>
          <w:sz w:val="20"/>
          <w:szCs w:val="20"/>
          <w:lang w:val="es-AR"/>
        </w:rPr>
        <w:t>: Tensores en otras áreas</w:t>
      </w:r>
    </w:p>
    <w:p w:rsidR="00C92D94" w:rsidRPr="000639FF" w:rsidRDefault="00C92D94" w:rsidP="00C92D94">
      <w:pPr>
        <w:tabs>
          <w:tab w:val="left" w:pos="0"/>
        </w:tabs>
        <w:spacing w:line="240" w:lineRule="auto"/>
        <w:jc w:val="both"/>
        <w:rPr>
          <w:rFonts w:ascii="Arial" w:hAnsi="Arial" w:cs="Arial"/>
          <w:sz w:val="20"/>
          <w:szCs w:val="20"/>
        </w:rPr>
      </w:pPr>
      <w:r w:rsidRPr="000639FF">
        <w:rPr>
          <w:rFonts w:ascii="Arial" w:hAnsi="Arial" w:cs="Arial"/>
          <w:sz w:val="20"/>
          <w:szCs w:val="20"/>
          <w:lang w:val="es-AR"/>
        </w:rPr>
        <w:t>Tensores en geometría. Tensores en física. Tensores en ingeniería.</w:t>
      </w:r>
    </w:p>
    <w:p w:rsidR="00C92D94" w:rsidRPr="000639FF" w:rsidRDefault="00C92D94" w:rsidP="00C92D94">
      <w:pPr>
        <w:spacing w:after="0" w:line="360" w:lineRule="auto"/>
        <w:jc w:val="both"/>
        <w:rPr>
          <w:rFonts w:ascii="Arial" w:hAnsi="Arial" w:cs="Arial"/>
          <w:b/>
          <w:sz w:val="20"/>
          <w:szCs w:val="20"/>
          <w:u w:val="single"/>
          <w:lang w:val="es-AR" w:eastAsia="es-AR"/>
        </w:rPr>
      </w:pPr>
      <w:r w:rsidRPr="000639FF">
        <w:rPr>
          <w:rFonts w:ascii="Arial" w:hAnsi="Arial" w:cs="Arial"/>
          <w:b/>
          <w:sz w:val="20"/>
          <w:szCs w:val="20"/>
          <w:u w:val="single"/>
          <w:lang w:val="es-AR" w:eastAsia="es-AR"/>
        </w:rPr>
        <w:t>Bibliografía</w:t>
      </w:r>
    </w:p>
    <w:p w:rsidR="00C92D94" w:rsidRDefault="00C92D94" w:rsidP="00C92D94">
      <w:pPr>
        <w:spacing w:after="0" w:line="240" w:lineRule="auto"/>
        <w:jc w:val="both"/>
        <w:rPr>
          <w:rFonts w:ascii="Arial" w:hAnsi="Arial" w:cs="Arial"/>
          <w:sz w:val="20"/>
          <w:szCs w:val="20"/>
          <w:lang w:val="es-AR"/>
        </w:rPr>
      </w:pPr>
      <w:r w:rsidRPr="000639FF">
        <w:rPr>
          <w:rFonts w:ascii="Arial" w:hAnsi="Arial" w:cs="Arial"/>
          <w:sz w:val="20"/>
          <w:szCs w:val="20"/>
          <w:lang w:val="es-AR"/>
        </w:rPr>
        <w:t xml:space="preserve">La referencia principal serán las notas de clase. Además, según las necesidades de cada alumno, se indicarán recursos específicos de la web. Por otro lado la siguiente bibliografía de consulta está disponible en la biblioteca de la FACET. </w:t>
      </w:r>
    </w:p>
    <w:p w:rsidR="00C92D94" w:rsidRPr="000639FF" w:rsidRDefault="00C92D94" w:rsidP="00C92D94">
      <w:pPr>
        <w:spacing w:after="0" w:line="240" w:lineRule="auto"/>
        <w:jc w:val="both"/>
        <w:rPr>
          <w:rFonts w:ascii="Arial" w:hAnsi="Arial" w:cs="Arial"/>
          <w:sz w:val="20"/>
          <w:szCs w:val="20"/>
        </w:rPr>
      </w:pP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rPr>
      </w:pPr>
      <w:r w:rsidRPr="000639FF">
        <w:rPr>
          <w:rFonts w:ascii="Arial" w:hAnsi="Arial" w:cs="Arial"/>
          <w:sz w:val="20"/>
          <w:szCs w:val="20"/>
          <w:lang w:val="es-AR" w:eastAsia="es-AR"/>
        </w:rPr>
        <w:t>Lima E., “Álgebra linear”, IMPA 1998.</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rPr>
      </w:pPr>
      <w:r w:rsidRPr="000639FF">
        <w:rPr>
          <w:rFonts w:ascii="Arial" w:hAnsi="Arial" w:cs="Arial"/>
          <w:sz w:val="20"/>
          <w:szCs w:val="20"/>
          <w:lang w:val="es-AR" w:eastAsia="es-AR"/>
        </w:rPr>
        <w:t xml:space="preserve">Hoffman K. Y </w:t>
      </w:r>
      <w:proofErr w:type="spellStart"/>
      <w:r w:rsidRPr="000639FF">
        <w:rPr>
          <w:rFonts w:ascii="Arial" w:hAnsi="Arial" w:cs="Arial"/>
          <w:sz w:val="20"/>
          <w:szCs w:val="20"/>
          <w:lang w:val="es-AR" w:eastAsia="es-AR"/>
        </w:rPr>
        <w:t>Kunze</w:t>
      </w:r>
      <w:proofErr w:type="spellEnd"/>
      <w:r w:rsidRPr="000639FF">
        <w:rPr>
          <w:rFonts w:ascii="Arial" w:hAnsi="Arial" w:cs="Arial"/>
          <w:sz w:val="20"/>
          <w:szCs w:val="20"/>
          <w:lang w:val="es-AR" w:eastAsia="es-AR"/>
        </w:rPr>
        <w:t xml:space="preserve"> R., “Álgebra lineal”, </w:t>
      </w:r>
      <w:proofErr w:type="spellStart"/>
      <w:r w:rsidRPr="000639FF">
        <w:rPr>
          <w:rFonts w:ascii="Arial" w:hAnsi="Arial" w:cs="Arial"/>
          <w:sz w:val="20"/>
          <w:szCs w:val="20"/>
          <w:lang w:val="es-AR" w:eastAsia="es-AR"/>
        </w:rPr>
        <w:t>Pentice</w:t>
      </w:r>
      <w:proofErr w:type="spellEnd"/>
      <w:r w:rsidRPr="000639FF">
        <w:rPr>
          <w:rFonts w:ascii="Arial" w:hAnsi="Arial" w:cs="Arial"/>
          <w:sz w:val="20"/>
          <w:szCs w:val="20"/>
          <w:lang w:val="es-AR" w:eastAsia="es-AR"/>
        </w:rPr>
        <w:t>-Hall Hispanoamericana 1971.</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rPr>
      </w:pPr>
      <w:proofErr w:type="spellStart"/>
      <w:r w:rsidRPr="000639FF">
        <w:rPr>
          <w:rFonts w:ascii="Arial" w:hAnsi="Arial" w:cs="Arial"/>
          <w:sz w:val="20"/>
          <w:szCs w:val="20"/>
          <w:lang w:val="es-AR" w:eastAsia="es-AR"/>
        </w:rPr>
        <w:t>Lang</w:t>
      </w:r>
      <w:proofErr w:type="spellEnd"/>
      <w:r w:rsidRPr="000639FF">
        <w:rPr>
          <w:rFonts w:ascii="Arial" w:hAnsi="Arial" w:cs="Arial"/>
          <w:sz w:val="20"/>
          <w:szCs w:val="20"/>
          <w:lang w:val="es-AR" w:eastAsia="es-AR"/>
        </w:rPr>
        <w:t xml:space="preserve"> S., “</w:t>
      </w:r>
      <w:proofErr w:type="spellStart"/>
      <w:r w:rsidRPr="000639FF">
        <w:rPr>
          <w:rFonts w:ascii="Arial" w:hAnsi="Arial" w:cs="Arial"/>
          <w:sz w:val="20"/>
          <w:szCs w:val="20"/>
          <w:lang w:val="es-AR" w:eastAsia="es-AR"/>
        </w:rPr>
        <w:t>Álgera</w:t>
      </w:r>
      <w:proofErr w:type="spellEnd"/>
      <w:r w:rsidRPr="000639FF">
        <w:rPr>
          <w:rFonts w:ascii="Arial" w:hAnsi="Arial" w:cs="Arial"/>
          <w:sz w:val="20"/>
          <w:szCs w:val="20"/>
          <w:lang w:val="es-AR" w:eastAsia="es-AR"/>
        </w:rPr>
        <w:t xml:space="preserve"> Lineal”, Addison-Wesley Iberoamericana 1990.</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lang w:val="en-US"/>
        </w:rPr>
      </w:pPr>
      <w:proofErr w:type="spellStart"/>
      <w:r w:rsidRPr="000639FF">
        <w:rPr>
          <w:rFonts w:ascii="Arial" w:hAnsi="Arial" w:cs="Arial"/>
          <w:sz w:val="20"/>
          <w:szCs w:val="20"/>
          <w:lang w:val="en-US" w:eastAsia="es-AR"/>
        </w:rPr>
        <w:t>Greub</w:t>
      </w:r>
      <w:proofErr w:type="spellEnd"/>
      <w:r w:rsidRPr="000639FF">
        <w:rPr>
          <w:rFonts w:ascii="Arial" w:hAnsi="Arial" w:cs="Arial"/>
          <w:sz w:val="20"/>
          <w:szCs w:val="20"/>
          <w:lang w:val="en-US" w:eastAsia="es-AR"/>
        </w:rPr>
        <w:t xml:space="preserve"> W., “Linear algebra”, Springer-</w:t>
      </w:r>
      <w:proofErr w:type="spellStart"/>
      <w:r w:rsidRPr="000639FF">
        <w:rPr>
          <w:rFonts w:ascii="Arial" w:hAnsi="Arial" w:cs="Arial"/>
          <w:sz w:val="20"/>
          <w:szCs w:val="20"/>
          <w:lang w:val="en-US" w:eastAsia="es-AR"/>
        </w:rPr>
        <w:t>Verlag</w:t>
      </w:r>
      <w:proofErr w:type="spellEnd"/>
      <w:r w:rsidRPr="000639FF">
        <w:rPr>
          <w:rFonts w:ascii="Arial" w:hAnsi="Arial" w:cs="Arial"/>
          <w:sz w:val="20"/>
          <w:szCs w:val="20"/>
          <w:lang w:val="en-US" w:eastAsia="es-AR"/>
        </w:rPr>
        <w:t xml:space="preserve"> 1963.</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lang w:val="en-US"/>
        </w:rPr>
      </w:pPr>
      <w:proofErr w:type="spellStart"/>
      <w:r w:rsidRPr="000639FF">
        <w:rPr>
          <w:rFonts w:ascii="Arial" w:hAnsi="Arial" w:cs="Arial"/>
          <w:sz w:val="20"/>
          <w:szCs w:val="20"/>
          <w:lang w:val="es-AR" w:eastAsia="es-AR"/>
        </w:rPr>
        <w:t>Greub</w:t>
      </w:r>
      <w:proofErr w:type="spellEnd"/>
      <w:r w:rsidRPr="000639FF">
        <w:rPr>
          <w:rFonts w:ascii="Arial" w:hAnsi="Arial" w:cs="Arial"/>
          <w:sz w:val="20"/>
          <w:szCs w:val="20"/>
          <w:lang w:val="es-AR" w:eastAsia="es-AR"/>
        </w:rPr>
        <w:t xml:space="preserve"> W., “</w:t>
      </w:r>
      <w:proofErr w:type="spellStart"/>
      <w:r w:rsidRPr="000639FF">
        <w:rPr>
          <w:rFonts w:ascii="Arial" w:hAnsi="Arial" w:cs="Arial"/>
          <w:sz w:val="20"/>
          <w:szCs w:val="20"/>
          <w:lang w:val="es-AR" w:eastAsia="es-AR"/>
        </w:rPr>
        <w:t>Multilinear</w:t>
      </w:r>
      <w:proofErr w:type="spellEnd"/>
      <w:r w:rsidRPr="000639FF">
        <w:rPr>
          <w:rFonts w:ascii="Arial" w:hAnsi="Arial" w:cs="Arial"/>
          <w:sz w:val="20"/>
          <w:szCs w:val="20"/>
          <w:lang w:val="es-AR" w:eastAsia="es-AR"/>
        </w:rPr>
        <w:t xml:space="preserve"> algebra”, </w:t>
      </w:r>
      <w:proofErr w:type="spellStart"/>
      <w:r w:rsidRPr="000639FF">
        <w:rPr>
          <w:rFonts w:ascii="Arial" w:hAnsi="Arial" w:cs="Arial"/>
          <w:sz w:val="20"/>
          <w:szCs w:val="20"/>
          <w:lang w:val="es-AR" w:eastAsia="es-AR"/>
        </w:rPr>
        <w:t>Spriniger-Verlag</w:t>
      </w:r>
      <w:proofErr w:type="spellEnd"/>
      <w:r w:rsidRPr="000639FF">
        <w:rPr>
          <w:rFonts w:ascii="Arial" w:hAnsi="Arial" w:cs="Arial"/>
          <w:sz w:val="20"/>
          <w:szCs w:val="20"/>
          <w:lang w:val="es-AR" w:eastAsia="es-AR"/>
        </w:rPr>
        <w:t xml:space="preserve"> 1978.</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lang w:val="es-AR"/>
        </w:rPr>
      </w:pPr>
      <w:proofErr w:type="spellStart"/>
      <w:r w:rsidRPr="000639FF">
        <w:rPr>
          <w:rFonts w:ascii="Arial" w:hAnsi="Arial" w:cs="Arial"/>
          <w:sz w:val="20"/>
          <w:szCs w:val="20"/>
          <w:lang w:val="es-AR" w:eastAsia="es-AR"/>
        </w:rPr>
        <w:t>Santaló</w:t>
      </w:r>
      <w:proofErr w:type="spellEnd"/>
      <w:r w:rsidRPr="000639FF">
        <w:rPr>
          <w:rFonts w:ascii="Arial" w:hAnsi="Arial" w:cs="Arial"/>
          <w:sz w:val="20"/>
          <w:szCs w:val="20"/>
          <w:lang w:val="es-AR" w:eastAsia="es-AR"/>
        </w:rPr>
        <w:t xml:space="preserve"> L., “Vectores y tensores”, EUDEBA 1977.</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lang w:val="es-AR"/>
        </w:rPr>
      </w:pPr>
      <w:proofErr w:type="spellStart"/>
      <w:r w:rsidRPr="000639FF">
        <w:rPr>
          <w:rFonts w:ascii="Arial" w:hAnsi="Arial" w:cs="Arial"/>
          <w:sz w:val="20"/>
          <w:szCs w:val="20"/>
          <w:lang w:val="es-AR" w:eastAsia="es-AR"/>
        </w:rPr>
        <w:t>Spivak</w:t>
      </w:r>
      <w:proofErr w:type="spellEnd"/>
      <w:r w:rsidRPr="000639FF">
        <w:rPr>
          <w:rFonts w:ascii="Arial" w:hAnsi="Arial" w:cs="Arial"/>
          <w:sz w:val="20"/>
          <w:szCs w:val="20"/>
          <w:lang w:val="es-AR" w:eastAsia="es-AR"/>
        </w:rPr>
        <w:t xml:space="preserve"> M., “Cálculo en variedades”, </w:t>
      </w:r>
      <w:proofErr w:type="spellStart"/>
      <w:r w:rsidRPr="000639FF">
        <w:rPr>
          <w:rFonts w:ascii="Arial" w:hAnsi="Arial" w:cs="Arial"/>
          <w:sz w:val="20"/>
          <w:szCs w:val="20"/>
          <w:lang w:val="es-AR" w:eastAsia="es-AR"/>
        </w:rPr>
        <w:t>Reverté</w:t>
      </w:r>
      <w:proofErr w:type="spellEnd"/>
      <w:r w:rsidRPr="000639FF">
        <w:rPr>
          <w:rFonts w:ascii="Arial" w:hAnsi="Arial" w:cs="Arial"/>
          <w:sz w:val="20"/>
          <w:szCs w:val="20"/>
          <w:lang w:val="es-AR" w:eastAsia="es-AR"/>
        </w:rPr>
        <w:t xml:space="preserve"> 1979.</w:t>
      </w:r>
    </w:p>
    <w:p w:rsidR="00C92D94" w:rsidRPr="000639FF" w:rsidRDefault="00C92D94" w:rsidP="00C92D94">
      <w:pPr>
        <w:numPr>
          <w:ilvl w:val="0"/>
          <w:numId w:val="1"/>
        </w:numPr>
        <w:suppressAutoHyphens/>
        <w:spacing w:line="240" w:lineRule="auto"/>
        <w:ind w:left="1066" w:hanging="357"/>
        <w:jc w:val="both"/>
        <w:rPr>
          <w:rFonts w:ascii="Arial" w:hAnsi="Arial" w:cs="Arial"/>
          <w:sz w:val="20"/>
          <w:szCs w:val="20"/>
          <w:lang w:val="en-US"/>
        </w:rPr>
      </w:pPr>
      <w:r w:rsidRPr="000639FF">
        <w:rPr>
          <w:rFonts w:ascii="Arial" w:hAnsi="Arial" w:cs="Arial"/>
          <w:sz w:val="20"/>
          <w:szCs w:val="20"/>
          <w:lang w:val="en-US" w:eastAsia="es-AR"/>
        </w:rPr>
        <w:t>Spain B., “Tensor calculus”, Oliver and Boyd 1960.</w:t>
      </w:r>
    </w:p>
    <w:p w:rsidR="00C92D94" w:rsidRDefault="00C92D94" w:rsidP="00C92D94">
      <w:pPr>
        <w:numPr>
          <w:ilvl w:val="0"/>
          <w:numId w:val="1"/>
        </w:numPr>
        <w:suppressAutoHyphens/>
        <w:spacing w:line="240" w:lineRule="auto"/>
        <w:ind w:left="1066" w:hanging="357"/>
        <w:jc w:val="both"/>
        <w:rPr>
          <w:rFonts w:ascii="Arial" w:hAnsi="Arial" w:cs="Arial"/>
          <w:sz w:val="20"/>
          <w:szCs w:val="20"/>
          <w:lang w:val="en-US"/>
        </w:rPr>
      </w:pPr>
      <w:proofErr w:type="spellStart"/>
      <w:r w:rsidRPr="000639FF">
        <w:rPr>
          <w:rFonts w:ascii="Arial" w:hAnsi="Arial" w:cs="Arial"/>
          <w:sz w:val="20"/>
          <w:szCs w:val="20"/>
          <w:lang w:val="en-US" w:eastAsia="es-AR"/>
        </w:rPr>
        <w:t>Spigel</w:t>
      </w:r>
      <w:proofErr w:type="spellEnd"/>
      <w:r w:rsidRPr="000639FF">
        <w:rPr>
          <w:rFonts w:ascii="Arial" w:hAnsi="Arial" w:cs="Arial"/>
          <w:sz w:val="20"/>
          <w:szCs w:val="20"/>
          <w:lang w:val="en-US" w:eastAsia="es-AR"/>
        </w:rPr>
        <w:t xml:space="preserve"> M., “</w:t>
      </w:r>
      <w:proofErr w:type="spellStart"/>
      <w:r w:rsidRPr="000639FF">
        <w:rPr>
          <w:rFonts w:ascii="Arial" w:hAnsi="Arial" w:cs="Arial"/>
          <w:sz w:val="20"/>
          <w:szCs w:val="20"/>
          <w:lang w:val="en-US" w:eastAsia="es-AR"/>
        </w:rPr>
        <w:t>Analisis</w:t>
      </w:r>
      <w:proofErr w:type="spellEnd"/>
      <w:r w:rsidRPr="000639FF">
        <w:rPr>
          <w:rFonts w:ascii="Arial" w:hAnsi="Arial" w:cs="Arial"/>
          <w:sz w:val="20"/>
          <w:szCs w:val="20"/>
          <w:lang w:val="en-US" w:eastAsia="es-AR"/>
        </w:rPr>
        <w:t xml:space="preserve"> </w:t>
      </w:r>
      <w:proofErr w:type="spellStart"/>
      <w:r w:rsidRPr="000639FF">
        <w:rPr>
          <w:rFonts w:ascii="Arial" w:hAnsi="Arial" w:cs="Arial"/>
          <w:sz w:val="20"/>
          <w:szCs w:val="20"/>
          <w:lang w:val="en-US" w:eastAsia="es-AR"/>
        </w:rPr>
        <w:t>vectorial</w:t>
      </w:r>
      <w:proofErr w:type="spellEnd"/>
      <w:r w:rsidRPr="000639FF">
        <w:rPr>
          <w:rFonts w:ascii="Arial" w:hAnsi="Arial" w:cs="Arial"/>
          <w:sz w:val="20"/>
          <w:szCs w:val="20"/>
          <w:lang w:val="en-US" w:eastAsia="es-AR"/>
        </w:rPr>
        <w:t>”, McGraw-Hill 1969.</w:t>
      </w:r>
    </w:p>
    <w:p w:rsidR="00C92D94" w:rsidRPr="000639FF" w:rsidRDefault="00C92D94" w:rsidP="00C92D94">
      <w:pPr>
        <w:suppressAutoHyphens/>
        <w:spacing w:line="240" w:lineRule="auto"/>
        <w:ind w:left="1066"/>
        <w:jc w:val="both"/>
        <w:rPr>
          <w:rFonts w:ascii="Arial" w:hAnsi="Arial" w:cs="Arial"/>
          <w:sz w:val="20"/>
          <w:szCs w:val="20"/>
          <w:lang w:val="en-US"/>
        </w:rPr>
      </w:pPr>
    </w:p>
    <w:p w:rsidR="00C92D94" w:rsidRPr="000639FF" w:rsidRDefault="00C92D94" w:rsidP="00C92D94">
      <w:pPr>
        <w:suppressAutoHyphens/>
        <w:spacing w:after="0" w:line="240" w:lineRule="auto"/>
        <w:jc w:val="both"/>
        <w:rPr>
          <w:rFonts w:ascii="Arial" w:eastAsia="Times New Roman" w:hAnsi="Arial" w:cs="Arial"/>
          <w:b/>
          <w:sz w:val="20"/>
          <w:szCs w:val="20"/>
          <w:lang w:val="en-US" w:eastAsia="ar-SA"/>
        </w:rPr>
      </w:pPr>
    </w:p>
    <w:p w:rsidR="00C92D94" w:rsidRPr="002A189C" w:rsidRDefault="00C92D94" w:rsidP="00C92D94">
      <w:pPr>
        <w:suppressAutoHyphens/>
        <w:spacing w:after="0" w:line="240" w:lineRule="auto"/>
        <w:jc w:val="both"/>
        <w:rPr>
          <w:rFonts w:ascii="Arial" w:eastAsia="Times New Roman" w:hAnsi="Arial" w:cs="Arial"/>
          <w:lang w:eastAsia="ar-SA"/>
        </w:rPr>
      </w:pPr>
      <w:r w:rsidRPr="002A189C">
        <w:rPr>
          <w:rFonts w:ascii="Arial" w:eastAsia="Times New Roman" w:hAnsi="Arial" w:cs="Arial"/>
          <w:b/>
          <w:lang w:eastAsia="ar-SA"/>
        </w:rPr>
        <w:t xml:space="preserve">Prerrequisitos: </w:t>
      </w:r>
      <w:r w:rsidRPr="002A189C">
        <w:rPr>
          <w:rFonts w:ascii="Arial" w:hAnsi="Arial" w:cs="Arial"/>
        </w:rPr>
        <w:t>Poseer manejo fluido de los fundamentos del Algebra Lineal y Estructuras Algebraicas.</w:t>
      </w:r>
    </w:p>
    <w:p w:rsidR="008E246D" w:rsidRDefault="008E246D"/>
    <w:sectPr w:rsidR="008E24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262F5"/>
    <w:multiLevelType w:val="hybridMultilevel"/>
    <w:tmpl w:val="4F46B8A0"/>
    <w:lvl w:ilvl="0" w:tplc="B9F20320">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94"/>
    <w:rsid w:val="008E246D"/>
    <w:rsid w:val="00C92D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9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9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1</cp:revision>
  <dcterms:created xsi:type="dcterms:W3CDTF">2019-08-15T18:45:00Z</dcterms:created>
  <dcterms:modified xsi:type="dcterms:W3CDTF">2019-08-15T18:46:00Z</dcterms:modified>
</cp:coreProperties>
</file>